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4F" w:rsidRDefault="0002664F" w:rsidP="0002664F">
      <w:pPr>
        <w:pStyle w:val="Default"/>
      </w:pPr>
    </w:p>
    <w:p w:rsidR="0002664F" w:rsidRDefault="0002664F" w:rsidP="0002664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1 </w:t>
      </w:r>
      <w:r w:rsidR="002434B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ОӨЖ. </w:t>
      </w:r>
      <w:r w:rsidR="002D5D6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Тұлғалық-бағытталған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02664F" w:rsidRDefault="0002664F" w:rsidP="0002664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Білім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тұлғалық-бағытталған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әдіс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педаогогтың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білім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тұлғасына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ерекше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назар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инетллеектісі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дамымуымен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қатар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тұлғалық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қасиеттерін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бағалау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жетілдіру</w:t>
      </w:r>
      <w:proofErr w:type="spellEnd"/>
      <w:r>
        <w:rPr>
          <w:sz w:val="23"/>
          <w:szCs w:val="23"/>
        </w:rPr>
        <w:t xml:space="preserve">. </w:t>
      </w:r>
    </w:p>
    <w:p w:rsidR="0002664F" w:rsidRDefault="0002664F" w:rsidP="0002664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аясында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тұлғалық-бағытталған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әдіс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докторанттың</w:t>
      </w:r>
      <w:proofErr w:type="spellEnd"/>
      <w:r>
        <w:rPr>
          <w:sz w:val="23"/>
          <w:szCs w:val="23"/>
        </w:rPr>
        <w:t xml:space="preserve"> масс-медиа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мәсеелсін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зерттеу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қағидаларын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әдіснамалырн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жетілдіруге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бағатталады</w:t>
      </w:r>
      <w:proofErr w:type="spellEnd"/>
      <w:r>
        <w:rPr>
          <w:sz w:val="23"/>
          <w:szCs w:val="23"/>
        </w:rPr>
        <w:t xml:space="preserve">. </w:t>
      </w:r>
    </w:p>
    <w:p w:rsidR="0002664F" w:rsidRDefault="0002664F" w:rsidP="000266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Докторант-</w:t>
      </w:r>
      <w:proofErr w:type="spellStart"/>
      <w:r>
        <w:rPr>
          <w:sz w:val="23"/>
          <w:szCs w:val="23"/>
        </w:rPr>
        <w:t>индивидуумның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келесідей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шешімдерді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ықпал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ету</w:t>
      </w:r>
      <w:proofErr w:type="spellEnd"/>
      <w:r>
        <w:rPr>
          <w:sz w:val="23"/>
          <w:szCs w:val="23"/>
        </w:rPr>
        <w:t xml:space="preserve">: </w:t>
      </w:r>
    </w:p>
    <w:p w:rsidR="0002664F" w:rsidRDefault="0002664F" w:rsidP="0002664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3"/>
          <w:szCs w:val="23"/>
        </w:rPr>
        <w:t>Адамның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қабілетін</w:t>
      </w:r>
      <w:proofErr w:type="spellEnd"/>
      <w:r>
        <w:rPr>
          <w:sz w:val="23"/>
          <w:szCs w:val="23"/>
        </w:rPr>
        <w:t xml:space="preserve">; </w:t>
      </w:r>
    </w:p>
    <w:p w:rsidR="0002664F" w:rsidRDefault="0002664F" w:rsidP="0002664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3"/>
          <w:szCs w:val="23"/>
        </w:rPr>
        <w:t>Қоғамдық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өмірдегі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өзгерістерді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бағалау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әсерін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сезіну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рефлекциясын</w:t>
      </w:r>
      <w:proofErr w:type="spellEnd"/>
      <w:r>
        <w:rPr>
          <w:sz w:val="23"/>
          <w:szCs w:val="23"/>
        </w:rPr>
        <w:t xml:space="preserve">; </w:t>
      </w:r>
    </w:p>
    <w:p w:rsidR="0002664F" w:rsidRDefault="0002664F" w:rsidP="0002664F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3"/>
          <w:szCs w:val="23"/>
        </w:rPr>
        <w:t>Ғылыми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ізденістің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мәнін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шығармашылық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жолдарын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іздестіруін</w:t>
      </w:r>
      <w:proofErr w:type="spellEnd"/>
      <w:r>
        <w:rPr>
          <w:sz w:val="23"/>
          <w:szCs w:val="23"/>
        </w:rPr>
        <w:t xml:space="preserve">; </w:t>
      </w:r>
    </w:p>
    <w:p w:rsidR="0002664F" w:rsidRDefault="0002664F" w:rsidP="0002664F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8"/>
        <w:gridCol w:w="4958"/>
      </w:tblGrid>
      <w:tr w:rsidR="0002664F" w:rsidTr="002D5D62">
        <w:trPr>
          <w:trHeight w:val="159"/>
        </w:trPr>
        <w:tc>
          <w:tcPr>
            <w:tcW w:w="4958" w:type="dxa"/>
          </w:tcPr>
          <w:p w:rsidR="002D5D62" w:rsidRDefault="0002664F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• </w:t>
            </w:r>
            <w:proofErr w:type="spellStart"/>
            <w:r>
              <w:rPr>
                <w:sz w:val="23"/>
                <w:szCs w:val="23"/>
              </w:rPr>
              <w:t>Тұлғалық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дербестігін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қалыптастыру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Дәстүрлі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әдіс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58" w:type="dxa"/>
          </w:tcPr>
          <w:p w:rsidR="002D5D62" w:rsidRDefault="002D5D6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Тұлғалық-бағытталған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әдіс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2664F" w:rsidTr="002D5D62">
        <w:trPr>
          <w:trHeight w:val="433"/>
        </w:trPr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Масс-медиа </w:t>
            </w:r>
            <w:proofErr w:type="spellStart"/>
            <w:r>
              <w:rPr>
                <w:sz w:val="23"/>
                <w:szCs w:val="23"/>
              </w:rPr>
              <w:t>және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билік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секторларын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қалыпты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Жаңа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білім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докторанттың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дербес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қызметі</w:t>
            </w:r>
            <w:proofErr w:type="spellEnd"/>
            <w:r>
              <w:rPr>
                <w:sz w:val="23"/>
                <w:szCs w:val="23"/>
              </w:rPr>
              <w:t xml:space="preserve">, оны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педагогтың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ықпалы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арқылы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дамиды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02664F" w:rsidTr="002D5D62">
        <w:trPr>
          <w:trHeight w:val="295"/>
        </w:trPr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Даму </w:t>
            </w:r>
            <w:proofErr w:type="spellStart"/>
            <w:r>
              <w:rPr>
                <w:sz w:val="23"/>
                <w:szCs w:val="23"/>
              </w:rPr>
              <w:t>бағыты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қалыптастқан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Білім</w:t>
            </w:r>
            <w:proofErr w:type="spellEnd"/>
            <w:r>
              <w:rPr>
                <w:sz w:val="23"/>
                <w:szCs w:val="23"/>
              </w:rPr>
              <w:t xml:space="preserve"> беру тек даму </w:t>
            </w:r>
            <w:proofErr w:type="spellStart"/>
            <w:r>
              <w:rPr>
                <w:sz w:val="23"/>
                <w:szCs w:val="23"/>
              </w:rPr>
              <w:t>векторын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беріп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қоймайды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сондай-ақ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оған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барлық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қажетті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жағдайлар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жасайды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02664F" w:rsidTr="002D5D62">
        <w:trPr>
          <w:trHeight w:val="571"/>
        </w:trPr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Мәселені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тануда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психологиялық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дамудың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барлық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желісі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тұтас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қалыпты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міндетті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Әбрір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білім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алушының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өзінің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дербес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қасиетттерін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жетіліруде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көмек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беру, </w:t>
            </w:r>
            <w:proofErr w:type="spellStart"/>
            <w:r>
              <w:rPr>
                <w:sz w:val="23"/>
                <w:szCs w:val="23"/>
              </w:rPr>
              <w:t>тұлға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ретінде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қалыптасуына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ықпал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02664F" w:rsidTr="002D5D62">
        <w:trPr>
          <w:trHeight w:val="365"/>
        </w:trPr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Білім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алудан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білімге</w:t>
            </w:r>
            <w:proofErr w:type="spellEnd"/>
            <w:r>
              <w:rPr>
                <w:sz w:val="23"/>
                <w:szCs w:val="23"/>
              </w:rPr>
              <w:t xml:space="preserve"> даму векторы </w:t>
            </w:r>
            <w:proofErr w:type="spellStart"/>
            <w:r>
              <w:rPr>
                <w:sz w:val="23"/>
                <w:szCs w:val="23"/>
              </w:rPr>
              <w:t>құрылған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Даму векторы </w:t>
            </w:r>
            <w:proofErr w:type="spellStart"/>
            <w:r>
              <w:rPr>
                <w:sz w:val="23"/>
                <w:szCs w:val="23"/>
              </w:rPr>
              <w:t>білім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алушының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дамуына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бағытталған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нақты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педагогикалық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ықпал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ету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әдісіне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негізделеді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02664F" w:rsidTr="002D5D62">
        <w:trPr>
          <w:trHeight w:val="709"/>
        </w:trPr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Тұлғалық</w:t>
            </w:r>
            <w:proofErr w:type="spellEnd"/>
            <w:r>
              <w:rPr>
                <w:sz w:val="23"/>
                <w:szCs w:val="23"/>
              </w:rPr>
              <w:t xml:space="preserve"> даму </w:t>
            </w:r>
            <w:proofErr w:type="spellStart"/>
            <w:r>
              <w:rPr>
                <w:sz w:val="23"/>
                <w:szCs w:val="23"/>
              </w:rPr>
              <w:t>аталған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міндететрмен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қалыптасқан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4958" w:type="dxa"/>
          </w:tcPr>
          <w:p w:rsidR="0002664F" w:rsidRDefault="000266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Білім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алушының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дамуын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қамту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қазақстандық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және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шетелдік</w:t>
            </w:r>
            <w:proofErr w:type="spellEnd"/>
            <w:r>
              <w:rPr>
                <w:sz w:val="23"/>
                <w:szCs w:val="23"/>
              </w:rPr>
              <w:t xml:space="preserve"> БАҚ пен </w:t>
            </w:r>
            <w:proofErr w:type="spellStart"/>
            <w:r>
              <w:rPr>
                <w:sz w:val="23"/>
                <w:szCs w:val="23"/>
              </w:rPr>
              <w:t>билік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арасындағы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мәселе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талдауға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авторлық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көзқарас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және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мәселені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стратегиялық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болжауға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шешу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жолдарын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қарастыруға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сыни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көзқарасын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танытуға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шығармашылық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қабілетн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арттыруға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ықпал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</w:tbl>
    <w:p w:rsidR="00AA1DA2" w:rsidRDefault="00AA1DA2"/>
    <w:sectPr w:rsidR="00AA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4F"/>
    <w:rsid w:val="0002664F"/>
    <w:rsid w:val="002434BF"/>
    <w:rsid w:val="002D5D62"/>
    <w:rsid w:val="00542759"/>
    <w:rsid w:val="00A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2E1A0-A033-4466-B99F-55B19B8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Gulmira</cp:lastModifiedBy>
  <cp:revision>2</cp:revision>
  <dcterms:created xsi:type="dcterms:W3CDTF">2018-12-23T14:51:00Z</dcterms:created>
  <dcterms:modified xsi:type="dcterms:W3CDTF">2018-12-23T14:51:00Z</dcterms:modified>
</cp:coreProperties>
</file>